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附件1：</w:t>
      </w:r>
    </w:p>
    <w:p>
      <w:pPr>
        <w:ind w:firstLine="5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</w:rPr>
        <w:t>学年度公选课申请表</w:t>
      </w:r>
    </w:p>
    <w:p>
      <w:pPr>
        <w:spacing w:after="240"/>
        <w:ind w:firstLine="54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  <w:lang w:eastAsia="zh-CN"/>
        </w:rPr>
        <w:t>省级</w:t>
      </w:r>
      <w:r>
        <w:rPr>
          <w:rFonts w:hint="default" w:ascii="Times New Roman" w:hAnsi="Times New Roman" w:cs="Times New Roman"/>
          <w:szCs w:val="21"/>
        </w:rPr>
        <w:t>精品在线开放课程适用）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68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（课程名称要求与精品在线课程名称一致）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课程授课人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（本课程本学年上课的教师姓名）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选课人数安排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50-500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课程学分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课程简介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课程内容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（可另附表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/>
                <w:szCs w:val="21"/>
              </w:rPr>
              <w:t>表述每周讲解的知识点）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线上授课时间安排及课时数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（授课时长不超过10周，从公选课开课周次开始计算周期）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在线学习活动计划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（要求：各项教学活动完整、有效，按计划实施，每一个教学单元至少发布测试题一次，讨论话题1-2次。）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课程考核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评价方式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（要求：课程成绩由过程性考核和终结性考核综合评定。课程考核要有明确合理的评价指标，包括完成课程学习所必须的作业、测验、讨论等各项学习活动的数量和评分标准，以及各部分成绩构成的比例等。）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院（部）意见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教务处意见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6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分管副校长意见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负责人（签章）：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16547182"/>
    <w:rsid w:val="10DB11B5"/>
    <w:rsid w:val="165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2025-04-22T07:27:00Z</dcterms:created>
  <dc:creator>有害益虫</dc:creator>
  <cp:lastModifiedBy>有害益虫</cp:lastModifiedBy>
  <dcterms:modified xsi:type="dcterms:W3CDTF">2025-04-22T07:28:43Z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539A97C702334D5C960489C7C118EF8E_11</vt:lpwstr>
  </property>
</Properties>
</file>